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B0" w:rsidRDefault="00ED2DD0" w:rsidP="001853B0">
      <w:pPr>
        <w:spacing w:after="0" w:line="240" w:lineRule="auto"/>
        <w:jc w:val="center"/>
        <w:rPr>
          <w:rFonts w:ascii="Times New Roman" w:hAnsi="Times New Roman" w:cs="Times New Roman"/>
          <w:b/>
          <w:sz w:val="24"/>
        </w:rPr>
      </w:pPr>
      <w:r>
        <w:rPr>
          <w:rFonts w:ascii="Times New Roman" w:hAnsi="Times New Roman" w:cs="Times New Roman"/>
          <w:b/>
          <w:sz w:val="24"/>
        </w:rPr>
        <w:t>GR</w:t>
      </w:r>
      <w:r w:rsidR="001853B0" w:rsidRPr="00AB57D4">
        <w:rPr>
          <w:rFonts w:ascii="Times New Roman" w:hAnsi="Times New Roman" w:cs="Times New Roman"/>
          <w:b/>
          <w:sz w:val="24"/>
        </w:rPr>
        <w:t xml:space="preserve"> 29</w:t>
      </w:r>
    </w:p>
    <w:p w:rsidR="00ED2DD0" w:rsidRPr="00AB57D4" w:rsidRDefault="00ED2DD0" w:rsidP="001853B0">
      <w:pPr>
        <w:spacing w:after="0" w:line="240" w:lineRule="auto"/>
        <w:jc w:val="center"/>
        <w:rPr>
          <w:rFonts w:ascii="Times New Roman" w:hAnsi="Times New Roman" w:cs="Times New Roman"/>
          <w:b/>
          <w:sz w:val="24"/>
        </w:rPr>
      </w:pPr>
    </w:p>
    <w:p w:rsidR="001853B0" w:rsidRPr="00AB57D4" w:rsidRDefault="001853B0" w:rsidP="001853B0">
      <w:pPr>
        <w:spacing w:after="0" w:line="240" w:lineRule="auto"/>
        <w:jc w:val="center"/>
        <w:rPr>
          <w:rFonts w:ascii="Times New Roman" w:hAnsi="Times New Roman" w:cs="Times New Roman"/>
          <w:b/>
          <w:sz w:val="24"/>
        </w:rPr>
      </w:pPr>
      <w:r w:rsidRPr="00AB57D4">
        <w:rPr>
          <w:rFonts w:ascii="Times New Roman" w:hAnsi="Times New Roman" w:cs="Times New Roman"/>
          <w:b/>
          <w:sz w:val="24"/>
        </w:rPr>
        <w:t>PRESIDING JUDGE IN SUPERIOR COURT DISTRICT AND</w:t>
      </w:r>
    </w:p>
    <w:p w:rsidR="001853B0" w:rsidRPr="00AB57D4" w:rsidRDefault="001853B0" w:rsidP="001853B0">
      <w:pPr>
        <w:spacing w:after="0" w:line="240" w:lineRule="auto"/>
        <w:jc w:val="center"/>
        <w:rPr>
          <w:rFonts w:ascii="Times New Roman" w:hAnsi="Times New Roman" w:cs="Times New Roman"/>
          <w:b/>
          <w:sz w:val="24"/>
        </w:rPr>
      </w:pPr>
      <w:r w:rsidRPr="00AB57D4">
        <w:rPr>
          <w:rFonts w:ascii="Times New Roman" w:hAnsi="Times New Roman" w:cs="Times New Roman"/>
          <w:b/>
          <w:sz w:val="24"/>
        </w:rPr>
        <w:t>LIMITED JURISDICTION COURT DISTRICT</w:t>
      </w:r>
    </w:p>
    <w:p w:rsidR="001853B0" w:rsidRPr="00AB57D4" w:rsidRDefault="001853B0" w:rsidP="001853B0">
      <w:pPr>
        <w:spacing w:after="0" w:line="240" w:lineRule="auto"/>
        <w:jc w:val="center"/>
        <w:rPr>
          <w:rFonts w:ascii="Times New Roman" w:hAnsi="Times New Roman" w:cs="Times New Roman"/>
          <w:b/>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b/>
          <w:sz w:val="24"/>
        </w:rPr>
        <w:t xml:space="preserve">(a) </w:t>
      </w:r>
      <w:r>
        <w:rPr>
          <w:rFonts w:ascii="Times New Roman" w:hAnsi="Times New Roman" w:cs="Times New Roman"/>
          <w:sz w:val="24"/>
        </w:rPr>
        <w:t>[Unchanged.]</w:t>
      </w:r>
    </w:p>
    <w:p w:rsidR="001853B0" w:rsidRPr="00AB57D4" w:rsidRDefault="001853B0" w:rsidP="001853B0">
      <w:pPr>
        <w:spacing w:after="0" w:line="240" w:lineRule="auto"/>
        <w:ind w:firstLine="720"/>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b/>
          <w:sz w:val="24"/>
        </w:rPr>
        <w:t>(b) Selection</w:t>
      </w:r>
      <w:r w:rsidRPr="00AB57D4">
        <w:rPr>
          <w:rFonts w:ascii="Times New Roman" w:hAnsi="Times New Roman" w:cs="Times New Roman"/>
          <w:b/>
          <w:sz w:val="24"/>
          <w:u w:val="single"/>
        </w:rPr>
        <w:t>,</w:t>
      </w:r>
      <w:r w:rsidRPr="00AB57D4">
        <w:rPr>
          <w:rFonts w:ascii="Times New Roman" w:hAnsi="Times New Roman" w:cs="Times New Roman"/>
          <w:b/>
          <w:sz w:val="24"/>
        </w:rPr>
        <w:t xml:space="preserve"> </w:t>
      </w:r>
      <w:r w:rsidRPr="00AB57D4">
        <w:rPr>
          <w:rFonts w:ascii="Times New Roman" w:hAnsi="Times New Roman" w:cs="Times New Roman"/>
          <w:b/>
          <w:strike/>
          <w:sz w:val="24"/>
        </w:rPr>
        <w:t xml:space="preserve">and </w:t>
      </w:r>
      <w:r w:rsidRPr="00AB57D4">
        <w:rPr>
          <w:rFonts w:ascii="Times New Roman" w:hAnsi="Times New Roman" w:cs="Times New Roman"/>
          <w:b/>
          <w:sz w:val="24"/>
        </w:rPr>
        <w:t>Term</w:t>
      </w:r>
      <w:r w:rsidRPr="00AB57D4">
        <w:rPr>
          <w:rFonts w:ascii="Times New Roman" w:hAnsi="Times New Roman" w:cs="Times New Roman"/>
          <w:b/>
          <w:sz w:val="24"/>
          <w:u w:val="single"/>
        </w:rPr>
        <w:t>, and Designation of Presiding Judge Pro Tempore</w:t>
      </w:r>
      <w:r w:rsidR="00ED2DD0">
        <w:rPr>
          <w:rFonts w:ascii="Times New Roman" w:hAnsi="Times New Roman" w:cs="Times New Roman"/>
          <w:b/>
          <w:sz w:val="24"/>
        </w:rPr>
        <w:t>–</w:t>
      </w:r>
      <w:r w:rsidRPr="00AB57D4">
        <w:rPr>
          <w:rFonts w:ascii="Times New Roman" w:hAnsi="Times New Roman" w:cs="Times New Roman"/>
          <w:b/>
          <w:sz w:val="24"/>
        </w:rPr>
        <w:t>Single Judge Courts.</w:t>
      </w:r>
      <w:r w:rsidRPr="00AB57D4">
        <w:rPr>
          <w:rFonts w:ascii="Times New Roman" w:hAnsi="Times New Roman" w:cs="Times New Roman"/>
          <w:sz w:val="24"/>
        </w:rPr>
        <w:t xml:space="preserve">  In court districts or municipalities having only one judge, that judge shall serve as the Presiding Judge for the judge’s term of office</w:t>
      </w:r>
      <w:r w:rsidRPr="00AB57D4">
        <w:rPr>
          <w:rFonts w:ascii="Times New Roman" w:hAnsi="Times New Roman" w:cs="Times New Roman"/>
          <w:sz w:val="24"/>
          <w:u w:val="single"/>
        </w:rPr>
        <w:t>, and shall predesignate and prepare a Presiding Judge Pro Tempore to fulfill presiding judge duties in the case of illness, incapacity, resignation, death, or unavailability of the judge</w:t>
      </w:r>
      <w:r w:rsidRPr="00AB57D4">
        <w:rPr>
          <w:rFonts w:ascii="Times New Roman" w:hAnsi="Times New Roman" w:cs="Times New Roman"/>
          <w:sz w:val="24"/>
        </w:rPr>
        <w:t>.</w:t>
      </w:r>
    </w:p>
    <w:p w:rsidR="001853B0" w:rsidRPr="00AB57D4" w:rsidRDefault="001853B0" w:rsidP="001853B0">
      <w:pPr>
        <w:spacing w:after="0" w:line="240" w:lineRule="auto"/>
        <w:ind w:firstLine="720"/>
        <w:rPr>
          <w:rFonts w:ascii="Times New Roman" w:hAnsi="Times New Roman" w:cs="Times New Roman"/>
          <w:sz w:val="24"/>
        </w:rPr>
      </w:pPr>
    </w:p>
    <w:p w:rsidR="001853B0" w:rsidRPr="00AB57D4" w:rsidRDefault="001853B0" w:rsidP="001853B0">
      <w:pPr>
        <w:spacing w:after="0" w:line="240" w:lineRule="auto"/>
        <w:ind w:firstLine="720"/>
        <w:jc w:val="center"/>
        <w:rPr>
          <w:rFonts w:ascii="Times New Roman" w:hAnsi="Times New Roman" w:cs="Times New Roman"/>
          <w:sz w:val="24"/>
          <w:u w:val="single"/>
        </w:rPr>
      </w:pPr>
      <w:r w:rsidRPr="00AB57D4">
        <w:rPr>
          <w:rFonts w:ascii="Times New Roman" w:hAnsi="Times New Roman" w:cs="Times New Roman"/>
          <w:sz w:val="24"/>
          <w:u w:val="single"/>
        </w:rPr>
        <w:t>Commentary</w:t>
      </w:r>
    </w:p>
    <w:p w:rsidR="001853B0" w:rsidRPr="00AB57D4" w:rsidRDefault="001853B0" w:rsidP="001853B0">
      <w:pPr>
        <w:spacing w:after="0" w:line="240" w:lineRule="auto"/>
        <w:ind w:firstLine="720"/>
        <w:jc w:val="center"/>
        <w:rPr>
          <w:rFonts w:ascii="Times New Roman" w:hAnsi="Times New Roman" w:cs="Times New Roman"/>
          <w:sz w:val="24"/>
          <w:u w:val="single"/>
        </w:rPr>
      </w:pPr>
    </w:p>
    <w:p w:rsidR="001853B0" w:rsidRPr="00AB57D4" w:rsidRDefault="001853B0" w:rsidP="001853B0">
      <w:pPr>
        <w:spacing w:after="0" w:line="240" w:lineRule="auto"/>
        <w:ind w:firstLine="720"/>
        <w:rPr>
          <w:rFonts w:ascii="Times New Roman" w:hAnsi="Times New Roman" w:cs="Times New Roman"/>
          <w:sz w:val="24"/>
          <w:u w:val="single"/>
        </w:rPr>
      </w:pPr>
      <w:r w:rsidRPr="00AB57D4">
        <w:rPr>
          <w:rFonts w:ascii="Times New Roman" w:hAnsi="Times New Roman" w:cs="Times New Roman"/>
          <w:sz w:val="24"/>
          <w:u w:val="single"/>
        </w:rPr>
        <w:t xml:space="preserve">In training and preparing the designated Presiding Judge Pro Tempore to fulfill presiding judge duties, a Presiding Judge from a single judge court should </w:t>
      </w:r>
      <w:r w:rsidR="00ED2DD0">
        <w:rPr>
          <w:rFonts w:ascii="Times New Roman" w:hAnsi="Times New Roman" w:cs="Times New Roman"/>
          <w:sz w:val="24"/>
          <w:u w:val="single"/>
        </w:rPr>
        <w:t xml:space="preserve">address the significant and </w:t>
      </w:r>
      <w:proofErr w:type="spellStart"/>
      <w:r w:rsidR="00ED2DD0">
        <w:rPr>
          <w:rFonts w:ascii="Times New Roman" w:hAnsi="Times New Roman" w:cs="Times New Roman"/>
          <w:sz w:val="24"/>
          <w:u w:val="single"/>
        </w:rPr>
        <w:t>non</w:t>
      </w:r>
      <w:r w:rsidRPr="00AB57D4">
        <w:rPr>
          <w:rFonts w:ascii="Times New Roman" w:hAnsi="Times New Roman" w:cs="Times New Roman"/>
          <w:sz w:val="24"/>
          <w:u w:val="single"/>
        </w:rPr>
        <w:t>delegable</w:t>
      </w:r>
      <w:proofErr w:type="spellEnd"/>
      <w:r w:rsidRPr="00AB57D4">
        <w:rPr>
          <w:rFonts w:ascii="Times New Roman" w:hAnsi="Times New Roman" w:cs="Times New Roman"/>
          <w:sz w:val="24"/>
          <w:u w:val="single"/>
        </w:rPr>
        <w:t xml:space="preserve"> administrative, budgetary</w:t>
      </w:r>
      <w:r w:rsidR="00ED2DD0">
        <w:rPr>
          <w:rFonts w:ascii="Times New Roman" w:hAnsi="Times New Roman" w:cs="Times New Roman"/>
          <w:sz w:val="24"/>
          <w:u w:val="single"/>
        </w:rPr>
        <w:t>,</w:t>
      </w:r>
      <w:r w:rsidRPr="00AB57D4">
        <w:rPr>
          <w:rFonts w:ascii="Times New Roman" w:hAnsi="Times New Roman" w:cs="Times New Roman"/>
          <w:sz w:val="24"/>
          <w:u w:val="single"/>
        </w:rPr>
        <w:t xml:space="preserve"> and personnel responsibilities of a presiding judge under this court rule, any obligations under collective bargaining agreement(s) or law(s) applicable to court personnel, interjurisdictional relations, and executive and legislative branch collaborations. </w:t>
      </w:r>
    </w:p>
    <w:p w:rsidR="001853B0" w:rsidRPr="00AB57D4" w:rsidRDefault="001853B0" w:rsidP="001853B0">
      <w:pPr>
        <w:spacing w:after="0" w:line="240" w:lineRule="auto"/>
        <w:ind w:firstLine="720"/>
        <w:rPr>
          <w:rFonts w:ascii="Times New Roman" w:hAnsi="Times New Roman" w:cs="Times New Roman"/>
          <w:sz w:val="24"/>
          <w:u w:val="single"/>
        </w:rPr>
      </w:pPr>
    </w:p>
    <w:p w:rsidR="001853B0" w:rsidRPr="00AB57D4" w:rsidRDefault="001853B0" w:rsidP="001853B0">
      <w:pPr>
        <w:spacing w:after="0" w:line="240" w:lineRule="auto"/>
        <w:ind w:firstLine="720"/>
        <w:rPr>
          <w:rFonts w:ascii="Times New Roman" w:hAnsi="Times New Roman" w:cs="Times New Roman"/>
          <w:sz w:val="24"/>
          <w:u w:val="single"/>
        </w:rPr>
      </w:pPr>
      <w:r w:rsidRPr="00AB57D4">
        <w:rPr>
          <w:rFonts w:ascii="Times New Roman" w:hAnsi="Times New Roman" w:cs="Times New Roman"/>
          <w:sz w:val="24"/>
          <w:u w:val="single"/>
        </w:rPr>
        <w:t xml:space="preserve">If it becomes necessary for the Chief Justice to appoint a Presiding Judge Pro Tempore for a single judge court pursuant to RCW 2.56.040(2) or other authority, then the State Court Administrator or the Chief Justice may consider consulting with the local executive or legislative authorities prior to the appointment. </w:t>
      </w:r>
    </w:p>
    <w:p w:rsidR="001853B0" w:rsidRPr="00AB57D4" w:rsidRDefault="001853B0" w:rsidP="001853B0">
      <w:pPr>
        <w:spacing w:after="0" w:line="240" w:lineRule="auto"/>
        <w:ind w:firstLine="720"/>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b/>
          <w:sz w:val="24"/>
        </w:rPr>
        <w:t>(c) Notification of Chief Justice.</w:t>
      </w:r>
      <w:r w:rsidRPr="00AB57D4">
        <w:rPr>
          <w:rFonts w:ascii="Times New Roman" w:hAnsi="Times New Roman" w:cs="Times New Roman"/>
          <w:sz w:val="24"/>
        </w:rPr>
        <w:t xml:space="preserve">  The Presiding Judge so elected shall send notice of the election of the Presiding Judge and Assistant Presiding Judge</w:t>
      </w:r>
      <w:r w:rsidRPr="00AB57D4">
        <w:rPr>
          <w:rFonts w:ascii="Times New Roman" w:hAnsi="Times New Roman" w:cs="Times New Roman"/>
          <w:sz w:val="24"/>
          <w:u w:val="single"/>
        </w:rPr>
        <w:t>, and in cases of single judge courts, the predesignated Presiding Judge Pro Tempore,</w:t>
      </w:r>
      <w:r w:rsidRPr="00AB57D4">
        <w:rPr>
          <w:rFonts w:ascii="Times New Roman" w:hAnsi="Times New Roman" w:cs="Times New Roman"/>
          <w:sz w:val="24"/>
        </w:rPr>
        <w:t xml:space="preserve"> to the Chief Justice of the Supreme Court within 30 days of election </w:t>
      </w:r>
      <w:r w:rsidRPr="00AB57D4">
        <w:rPr>
          <w:rFonts w:ascii="Times New Roman" w:hAnsi="Times New Roman" w:cs="Times New Roman"/>
          <w:sz w:val="24"/>
          <w:u w:val="single"/>
        </w:rPr>
        <w:t>or any new or changed Presiding Judge or Presiding Judge Pro Tempore designations</w:t>
      </w:r>
      <w:r w:rsidRPr="00AB57D4">
        <w:rPr>
          <w:rFonts w:ascii="Times New Roman" w:hAnsi="Times New Roman" w:cs="Times New Roman"/>
          <w:sz w:val="24"/>
        </w:rPr>
        <w:t>.</w:t>
      </w:r>
    </w:p>
    <w:p w:rsidR="001853B0" w:rsidRPr="00AB57D4" w:rsidRDefault="001853B0" w:rsidP="001853B0">
      <w:pPr>
        <w:spacing w:after="0" w:line="240" w:lineRule="auto"/>
        <w:rPr>
          <w:rFonts w:ascii="Times New Roman" w:hAnsi="Times New Roman" w:cs="Times New Roman"/>
          <w:sz w:val="24"/>
        </w:rPr>
      </w:pPr>
    </w:p>
    <w:p w:rsidR="001853B0" w:rsidRPr="00AB57D4" w:rsidRDefault="00ED2DD0" w:rsidP="001853B0">
      <w:pPr>
        <w:spacing w:after="0" w:line="240" w:lineRule="auto"/>
        <w:ind w:firstLine="720"/>
        <w:rPr>
          <w:rFonts w:ascii="Times New Roman" w:hAnsi="Times New Roman" w:cs="Times New Roman"/>
          <w:sz w:val="24"/>
        </w:rPr>
      </w:pPr>
      <w:r>
        <w:rPr>
          <w:rFonts w:ascii="Times New Roman" w:hAnsi="Times New Roman" w:cs="Times New Roman"/>
          <w:b/>
          <w:sz w:val="24"/>
        </w:rPr>
        <w:t>(d)</w:t>
      </w:r>
      <w:proofErr w:type="gramStart"/>
      <w:r>
        <w:rPr>
          <w:rFonts w:ascii="Times New Roman" w:hAnsi="Times New Roman" w:cs="Times New Roman"/>
          <w:b/>
          <w:sz w:val="24"/>
        </w:rPr>
        <w:t>-</w:t>
      </w:r>
      <w:r w:rsidR="001853B0" w:rsidRPr="00AB57D4">
        <w:rPr>
          <w:rFonts w:ascii="Times New Roman" w:hAnsi="Times New Roman" w:cs="Times New Roman"/>
          <w:b/>
          <w:sz w:val="24"/>
        </w:rPr>
        <w:t>(</w:t>
      </w:r>
      <w:proofErr w:type="gramEnd"/>
      <w:r w:rsidR="001853B0" w:rsidRPr="00AB57D4">
        <w:rPr>
          <w:rFonts w:ascii="Times New Roman" w:hAnsi="Times New Roman" w:cs="Times New Roman"/>
          <w:b/>
          <w:sz w:val="24"/>
        </w:rPr>
        <w:t xml:space="preserve">e) </w:t>
      </w:r>
      <w:r w:rsidR="001853B0" w:rsidRPr="00E66E09">
        <w:rPr>
          <w:rFonts w:ascii="Times New Roman" w:hAnsi="Times New Roman" w:cs="Times New Roman"/>
          <w:sz w:val="24"/>
        </w:rPr>
        <w:t>[Unchanged.]</w:t>
      </w:r>
    </w:p>
    <w:p w:rsidR="001853B0" w:rsidRPr="00AB57D4" w:rsidRDefault="001853B0" w:rsidP="001853B0">
      <w:pPr>
        <w:spacing w:after="0" w:line="240" w:lineRule="auto"/>
        <w:ind w:firstLine="720"/>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b/>
          <w:sz w:val="24"/>
        </w:rPr>
        <w:t>(f) Duties and Authority.</w:t>
      </w:r>
      <w:r w:rsidRPr="00AB57D4">
        <w:rPr>
          <w:rFonts w:ascii="Times New Roman" w:hAnsi="Times New Roman" w:cs="Times New Roman"/>
          <w:sz w:val="24"/>
        </w:rPr>
        <w:t xml:space="preserve">  The judicial and administrative duties set forth in this rule cannot be delegated to persons in either the legislative or executive branches of government.  A Presiding Judge may delegate the performance of ministerial duties to court employees; however, it is still the Presiding Judge's responsibility to ensure they are performed in accordance with this rule.  In addition to exercising general administrative supervision over the court, except those duties assigned to clerks of the superior court pursuant to law, the Presiding Judge shall:</w:t>
      </w:r>
    </w:p>
    <w:p w:rsidR="001853B0" w:rsidRPr="00AB57D4" w:rsidRDefault="001853B0" w:rsidP="001853B0">
      <w:pPr>
        <w:spacing w:after="0" w:line="240" w:lineRule="auto"/>
        <w:ind w:firstLine="720"/>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sz w:val="24"/>
        </w:rPr>
        <w:t xml:space="preserve">(1) </w:t>
      </w:r>
      <w:r>
        <w:rPr>
          <w:rFonts w:ascii="Times New Roman" w:hAnsi="Times New Roman" w:cs="Times New Roman"/>
          <w:sz w:val="24"/>
        </w:rPr>
        <w:t xml:space="preserve">– (11) [Unchanged.] </w:t>
      </w:r>
    </w:p>
    <w:p w:rsidR="001853B0" w:rsidRPr="00AB57D4" w:rsidRDefault="001853B0" w:rsidP="001853B0">
      <w:pPr>
        <w:spacing w:after="0" w:line="240" w:lineRule="auto"/>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sz w:val="24"/>
        </w:rPr>
        <w:lastRenderedPageBreak/>
        <w:t xml:space="preserve">(12) Determine the qualifications of and establish a training program for </w:t>
      </w:r>
      <w:r w:rsidRPr="00AB57D4">
        <w:rPr>
          <w:rFonts w:ascii="Times New Roman" w:hAnsi="Times New Roman" w:cs="Times New Roman"/>
          <w:sz w:val="24"/>
          <w:u w:val="single"/>
        </w:rPr>
        <w:t>Presiding Judges Pro Tempore predesignated under</w:t>
      </w:r>
      <w:r w:rsidR="003D27E1">
        <w:rPr>
          <w:rFonts w:ascii="Times New Roman" w:hAnsi="Times New Roman" w:cs="Times New Roman"/>
          <w:sz w:val="24"/>
          <w:u w:val="single"/>
        </w:rPr>
        <w:t xml:space="preserve"> subsection</w:t>
      </w:r>
      <w:r w:rsidRPr="00AB57D4">
        <w:rPr>
          <w:rFonts w:ascii="Times New Roman" w:hAnsi="Times New Roman" w:cs="Times New Roman"/>
          <w:sz w:val="24"/>
          <w:u w:val="single"/>
        </w:rPr>
        <w:t xml:space="preserve"> (c),</w:t>
      </w:r>
      <w:r w:rsidRPr="00AB57D4">
        <w:rPr>
          <w:rFonts w:ascii="Times New Roman" w:hAnsi="Times New Roman" w:cs="Times New Roman"/>
          <w:sz w:val="24"/>
        </w:rPr>
        <w:t xml:space="preserve"> pro tem judges</w:t>
      </w:r>
      <w:r w:rsidR="003D27E1">
        <w:rPr>
          <w:rFonts w:ascii="Times New Roman" w:hAnsi="Times New Roman" w:cs="Times New Roman"/>
          <w:sz w:val="24"/>
        </w:rPr>
        <w:t>,</w:t>
      </w:r>
      <w:r w:rsidRPr="00AB57D4">
        <w:rPr>
          <w:rFonts w:ascii="Times New Roman" w:hAnsi="Times New Roman" w:cs="Times New Roman"/>
          <w:sz w:val="24"/>
        </w:rPr>
        <w:t xml:space="preserve"> and pro tem court commissioners; and</w:t>
      </w:r>
    </w:p>
    <w:p w:rsidR="001853B0" w:rsidRPr="00AB57D4" w:rsidRDefault="001853B0" w:rsidP="001853B0">
      <w:pPr>
        <w:spacing w:after="0" w:line="240" w:lineRule="auto"/>
        <w:rPr>
          <w:rFonts w:ascii="Times New Roman" w:hAnsi="Times New Roman" w:cs="Times New Roman"/>
          <w:sz w:val="24"/>
        </w:rPr>
      </w:pPr>
    </w:p>
    <w:p w:rsidR="001853B0" w:rsidRPr="00AB57D4" w:rsidRDefault="001853B0" w:rsidP="001853B0">
      <w:pPr>
        <w:spacing w:after="0" w:line="240" w:lineRule="auto"/>
        <w:ind w:firstLine="720"/>
        <w:rPr>
          <w:rFonts w:ascii="Times New Roman" w:hAnsi="Times New Roman" w:cs="Times New Roman"/>
          <w:sz w:val="24"/>
        </w:rPr>
      </w:pPr>
      <w:r w:rsidRPr="00AB57D4">
        <w:rPr>
          <w:rFonts w:ascii="Times New Roman" w:hAnsi="Times New Roman" w:cs="Times New Roman"/>
          <w:sz w:val="24"/>
        </w:rPr>
        <w:t xml:space="preserve">(13) </w:t>
      </w:r>
      <w:r>
        <w:rPr>
          <w:rFonts w:ascii="Times New Roman" w:hAnsi="Times New Roman" w:cs="Times New Roman"/>
          <w:sz w:val="24"/>
        </w:rPr>
        <w:t>[Unchanged.]</w:t>
      </w:r>
    </w:p>
    <w:p w:rsidR="001853B0" w:rsidRPr="00AB57D4" w:rsidRDefault="001853B0" w:rsidP="001853B0">
      <w:pPr>
        <w:spacing w:after="0" w:line="240" w:lineRule="auto"/>
        <w:rPr>
          <w:rFonts w:ascii="Times New Roman" w:hAnsi="Times New Roman" w:cs="Times New Roman"/>
          <w:sz w:val="24"/>
        </w:rPr>
      </w:pPr>
    </w:p>
    <w:p w:rsidR="00517E97" w:rsidRDefault="003D27E1" w:rsidP="00ED2DD0">
      <w:pPr>
        <w:ind w:firstLine="720"/>
      </w:pPr>
      <w:r>
        <w:rPr>
          <w:rFonts w:ascii="Times New Roman" w:hAnsi="Times New Roman" w:cs="Times New Roman"/>
          <w:b/>
          <w:sz w:val="24"/>
        </w:rPr>
        <w:t>(g)</w:t>
      </w:r>
      <w:proofErr w:type="gramStart"/>
      <w:r>
        <w:rPr>
          <w:rFonts w:ascii="Times New Roman" w:hAnsi="Times New Roman" w:cs="Times New Roman"/>
          <w:b/>
          <w:sz w:val="24"/>
        </w:rPr>
        <w:t>-</w:t>
      </w:r>
      <w:r w:rsidR="001853B0" w:rsidRPr="00AB57D4">
        <w:rPr>
          <w:rFonts w:ascii="Times New Roman" w:hAnsi="Times New Roman" w:cs="Times New Roman"/>
          <w:b/>
          <w:sz w:val="24"/>
        </w:rPr>
        <w:t>(</w:t>
      </w:r>
      <w:proofErr w:type="gramEnd"/>
      <w:r>
        <w:rPr>
          <w:rFonts w:ascii="Times New Roman" w:hAnsi="Times New Roman" w:cs="Times New Roman"/>
          <w:b/>
          <w:i/>
          <w:sz w:val="24"/>
        </w:rPr>
        <w:t>l</w:t>
      </w:r>
      <w:r w:rsidR="001853B0" w:rsidRPr="00AB57D4">
        <w:rPr>
          <w:rFonts w:ascii="Times New Roman" w:hAnsi="Times New Roman" w:cs="Times New Roman"/>
          <w:b/>
          <w:sz w:val="24"/>
        </w:rPr>
        <w:t xml:space="preserve">) </w:t>
      </w:r>
      <w:r w:rsidR="001853B0" w:rsidRPr="00AB57D4">
        <w:rPr>
          <w:rFonts w:ascii="Times New Roman" w:hAnsi="Times New Roman" w:cs="Times New Roman"/>
          <w:sz w:val="24"/>
        </w:rPr>
        <w:t>[</w:t>
      </w:r>
      <w:r w:rsidR="001853B0">
        <w:rPr>
          <w:rFonts w:ascii="Times New Roman" w:hAnsi="Times New Roman" w:cs="Times New Roman"/>
          <w:sz w:val="24"/>
        </w:rPr>
        <w:t>Unchanged</w:t>
      </w:r>
      <w:r w:rsidR="001853B0" w:rsidRPr="00AB57D4">
        <w:rPr>
          <w:rFonts w:ascii="Times New Roman" w:hAnsi="Times New Roman" w:cs="Times New Roman"/>
          <w:sz w:val="24"/>
        </w:rPr>
        <w:t>.]</w:t>
      </w:r>
      <w:bookmarkStart w:id="0" w:name="_GoBack"/>
      <w:bookmarkEnd w:id="0"/>
    </w:p>
    <w:sectPr w:rsidR="0051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B0"/>
    <w:rsid w:val="001853B0"/>
    <w:rsid w:val="003D27E1"/>
    <w:rsid w:val="00517E97"/>
    <w:rsid w:val="00ED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5D03F-8C15-468D-89C7-19FC45A7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2022-05-12T20:15:00Z</dcterms:created>
  <dcterms:modified xsi:type="dcterms:W3CDTF">2022-05-12T20:59:00Z</dcterms:modified>
</cp:coreProperties>
</file>